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霸州市供销社2018年部门预算公开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目录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部门预算政府性基金预算财政拨款支出表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ind w:firstLine="600" w:firstLineChars="20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>9、其他需要说明的事项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1A5A3FB7-40E4-44D8-849D-64085ED1778D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FCF3A6F0-906C-4DBD-AF79-412E90CAD1E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15B07966-D05C-4E6C-B49B-06447CF2B24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B5B5A"/>
    <w:rsid w:val="11BA1DD1"/>
    <w:rsid w:val="1C4F18A6"/>
    <w:rsid w:val="22DC09F6"/>
    <w:rsid w:val="2E5B4FE4"/>
    <w:rsid w:val="36DD4029"/>
    <w:rsid w:val="4B9F191B"/>
    <w:rsid w:val="4BE9723F"/>
    <w:rsid w:val="7ACB5B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jc w:val="both"/>
    </w:pPr>
    <w:rPr>
      <w:rFonts w:ascii="宋体" w:hAnsi="宋体" w:cs="宋体" w:eastAsiaTheme="minorEastAsia"/>
      <w:sz w:val="21"/>
      <w:szCs w:val="22"/>
      <w:lang w:val="zh-CN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2017-04-05T02:10:00Z</dcterms:created>
  <dc:creator>xu123456</dc:creator>
  <cp:lastModifiedBy>十分′之一</cp:lastModifiedBy>
  <dcterms:modified xsi:type="dcterms:W3CDTF">2018-03-01T04:00:29Z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